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BB" w:rsidRDefault="000D6BBB" w:rsidP="000D6BBB">
      <w:pPr>
        <w:spacing w:after="120"/>
        <w:jc w:val="center"/>
        <w:rPr>
          <w:rFonts w:ascii="Times New Roman" w:hAnsi="Times New Roman"/>
          <w:b/>
          <w:sz w:val="28"/>
          <w:szCs w:val="28"/>
        </w:rPr>
      </w:pPr>
      <w:r w:rsidRPr="00497ED9">
        <w:rPr>
          <w:rFonts w:ascii="Times New Roman" w:hAnsi="Times New Roman"/>
          <w:b/>
          <w:sz w:val="28"/>
          <w:szCs w:val="28"/>
        </w:rPr>
        <w:t>Số liệu thống kê trong Hệ thống thông tin công chứng thống nhất</w:t>
      </w:r>
      <w:r>
        <w:rPr>
          <w:rFonts w:ascii="Times New Roman" w:hAnsi="Times New Roman"/>
          <w:b/>
          <w:sz w:val="28"/>
          <w:szCs w:val="28"/>
        </w:rPr>
        <w:t xml:space="preserve"> </w:t>
      </w:r>
    </w:p>
    <w:p w:rsidR="000D6BBB" w:rsidRPr="00497ED9" w:rsidRDefault="000D6BBB" w:rsidP="000D6BBB">
      <w:pPr>
        <w:spacing w:after="120"/>
        <w:jc w:val="center"/>
        <w:rPr>
          <w:rFonts w:ascii="Times New Roman" w:hAnsi="Times New Roman"/>
          <w:b/>
          <w:sz w:val="28"/>
          <w:szCs w:val="28"/>
        </w:rPr>
      </w:pPr>
      <w:r>
        <w:rPr>
          <w:rFonts w:ascii="Times New Roman" w:hAnsi="Times New Roman"/>
          <w:b/>
          <w:sz w:val="28"/>
          <w:szCs w:val="28"/>
        </w:rPr>
        <w:t>Liên Bang Nga</w:t>
      </w:r>
    </w:p>
    <w:p w:rsidR="000D6BBB" w:rsidRPr="00497ED9" w:rsidRDefault="000D6BBB" w:rsidP="000D6BBB">
      <w:pPr>
        <w:spacing w:after="120"/>
        <w:jc w:val="center"/>
        <w:rPr>
          <w:rFonts w:ascii="Times New Roman" w:hAnsi="Times New Roman"/>
          <w:i/>
          <w:sz w:val="28"/>
          <w:szCs w:val="28"/>
        </w:rPr>
      </w:pPr>
      <w:r w:rsidRPr="00497ED9">
        <w:rPr>
          <w:rFonts w:ascii="Times New Roman" w:hAnsi="Times New Roman"/>
          <w:i/>
          <w:sz w:val="28"/>
          <w:szCs w:val="28"/>
        </w:rPr>
        <w:t>(bản dịch)</w:t>
      </w:r>
    </w:p>
    <w:p w:rsidR="000D6BBB" w:rsidRPr="00497ED9" w:rsidRDefault="000D6BBB" w:rsidP="000D6BBB">
      <w:pPr>
        <w:spacing w:after="120"/>
        <w:ind w:firstLine="720"/>
        <w:jc w:val="both"/>
        <w:rPr>
          <w:rFonts w:ascii="Times New Roman" w:hAnsi="Times New Roman"/>
          <w:sz w:val="28"/>
          <w:szCs w:val="28"/>
        </w:rPr>
      </w:pPr>
      <w:r w:rsidRPr="00497ED9">
        <w:rPr>
          <w:rFonts w:ascii="Times New Roman" w:hAnsi="Times New Roman"/>
          <w:sz w:val="28"/>
          <w:szCs w:val="28"/>
        </w:rPr>
        <w:t>Hệ thống thông tin công chứng thống nhất (sau đây gọi tắt là UIS) là một hệ thống thông tin tự động thuộc sở hữu của Phòng công chứng Liên bang và được thiết kế để tự động hóa toàn diện các quy trình thu thập và xử lý thông tin về hoạt động công chứng và cung cấp mọi loại hình tương tác (trao đổi) thông tin. Đơn vị điều hành hệ thống thông tin công chứng thống nhất là Phòng Công chứng Liên bang.</w:t>
      </w:r>
    </w:p>
    <w:p w:rsidR="000D6BBB" w:rsidRPr="00497ED9" w:rsidRDefault="000D6BBB" w:rsidP="000D6BBB">
      <w:pPr>
        <w:spacing w:after="120"/>
        <w:ind w:firstLine="720"/>
        <w:jc w:val="both"/>
        <w:rPr>
          <w:rFonts w:ascii="Times New Roman" w:hAnsi="Times New Roman"/>
          <w:sz w:val="28"/>
          <w:szCs w:val="28"/>
        </w:rPr>
      </w:pPr>
      <w:r w:rsidRPr="00497ED9">
        <w:rPr>
          <w:rFonts w:ascii="Times New Roman" w:hAnsi="Times New Roman"/>
          <w:sz w:val="28"/>
          <w:szCs w:val="28"/>
        </w:rPr>
        <w:t xml:space="preserve">Thông tin, bao gồm cả dưới dạng tài liệu điện tử về việc thực hiện </w:t>
      </w:r>
      <w:r>
        <w:rPr>
          <w:rFonts w:ascii="Times New Roman" w:hAnsi="Times New Roman"/>
          <w:sz w:val="28"/>
          <w:szCs w:val="28"/>
        </w:rPr>
        <w:t>hoạt động</w:t>
      </w:r>
      <w:r w:rsidRPr="00497ED9">
        <w:rPr>
          <w:rFonts w:ascii="Times New Roman" w:hAnsi="Times New Roman"/>
          <w:sz w:val="28"/>
          <w:szCs w:val="28"/>
        </w:rPr>
        <w:t xml:space="preserve"> công chứng, cũng như các thông tin về công chứng khác do Nguyên tắc cơ bản của pháp luật Liên bang Nga quy định, phải được đưa vào hệ thống thông tin công chứng thống nhất.</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Hiện nay UIS bao gồm sáu sổ đăng ký:</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 xml:space="preserve">1. Sổ đăng ký </w:t>
      </w:r>
      <w:r>
        <w:rPr>
          <w:rFonts w:ascii="Times New Roman" w:hAnsi="Times New Roman"/>
          <w:sz w:val="28"/>
          <w:szCs w:val="28"/>
        </w:rPr>
        <w:t>hoạt động</w:t>
      </w:r>
      <w:r w:rsidRPr="00497ED9">
        <w:rPr>
          <w:rFonts w:ascii="Times New Roman" w:hAnsi="Times New Roman"/>
          <w:sz w:val="28"/>
          <w:szCs w:val="28"/>
        </w:rPr>
        <w:t xml:space="preserve"> công chứng có hơn 280 triệu mục (281.888.635).</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 xml:space="preserve">2. Sổ đăng ký </w:t>
      </w:r>
      <w:r>
        <w:rPr>
          <w:rFonts w:ascii="Times New Roman" w:hAnsi="Times New Roman"/>
          <w:sz w:val="28"/>
          <w:szCs w:val="28"/>
        </w:rPr>
        <w:t>hoạt động</w:t>
      </w:r>
      <w:r w:rsidRPr="00497ED9">
        <w:rPr>
          <w:rFonts w:ascii="Times New Roman" w:hAnsi="Times New Roman"/>
          <w:sz w:val="28"/>
          <w:szCs w:val="28"/>
        </w:rPr>
        <w:t xml:space="preserve"> công chứng được thực hiện từ xa, và các giao dịch được chứng nhận bởi hai công chứng viên trở lên, bao gồm hơn 370 nghìn thông tin về công chứng được thực hiện từ xa và giao dịch được chứng nhận bởi hai công chứng viên trở lên.</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 xml:space="preserve">Từ ngày 29/12/2020 đến ngày 05/5/2023, công chứng viên đã thực hiện 372.452 </w:t>
      </w:r>
      <w:r>
        <w:rPr>
          <w:rFonts w:ascii="Times New Roman" w:hAnsi="Times New Roman"/>
          <w:sz w:val="28"/>
          <w:szCs w:val="28"/>
        </w:rPr>
        <w:t>hoạt động</w:t>
      </w:r>
      <w:r w:rsidRPr="00497ED9">
        <w:rPr>
          <w:rFonts w:ascii="Times New Roman" w:hAnsi="Times New Roman"/>
          <w:sz w:val="28"/>
          <w:szCs w:val="28"/>
        </w:rPr>
        <w:t xml:space="preserve"> công chứng từ xa, trong đó:</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1) chuyển giao tài liệu của cá nhân, pháp n</w:t>
      </w:r>
      <w:r>
        <w:rPr>
          <w:rFonts w:ascii="Times New Roman" w:hAnsi="Times New Roman"/>
          <w:sz w:val="28"/>
          <w:szCs w:val="28"/>
        </w:rPr>
        <w:t xml:space="preserve">hân cho cá nhân, pháp nhân khác - </w:t>
      </w:r>
      <w:r w:rsidRPr="00497ED9">
        <w:rPr>
          <w:rFonts w:ascii="Times New Roman" w:hAnsi="Times New Roman"/>
          <w:sz w:val="28"/>
          <w:szCs w:val="28"/>
        </w:rPr>
        <w:t xml:space="preserve"> 6</w:t>
      </w:r>
      <w:bookmarkStart w:id="0" w:name="_GoBack"/>
      <w:bookmarkEnd w:id="0"/>
      <w:r w:rsidRPr="00497ED9">
        <w:rPr>
          <w:rFonts w:ascii="Times New Roman" w:hAnsi="Times New Roman"/>
          <w:sz w:val="28"/>
          <w:szCs w:val="28"/>
        </w:rPr>
        <w:t>;</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2) chứng nhận tính chính xác của bản dịch - 11;</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3) nhận ký gửi tiền và giấy có giá  - 55;</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4) ký gửi bởi công chứng viên động sản, tài chính không phải tiền mặt hoặc chứng khoán không có chứng chỉ - 0;</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5) thu tiền hoặc đòi lại tài sản từ người nợ - 368.010;</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6) nhận lưu giữ tài liệu - 0;</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7) cung cấp bằng chứng dưới hình thức kiểm tra trang web trên mạng thông tin và viễn thông Internet - 37;</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8) trích lục sổ thông báo cầm cố động sản - 4.296;</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9) chứng nhận sự tương đương của tài liệu điện tử do công chứng viên chuẩn bị ở định dạng khác với tài liệu điện tử được xuất trình cho công chứng viên - 9.</w:t>
      </w:r>
    </w:p>
    <w:p w:rsidR="000D6BBB" w:rsidRPr="00497ED9" w:rsidRDefault="000D6BBB" w:rsidP="000D6BBB">
      <w:pPr>
        <w:spacing w:after="120"/>
        <w:ind w:left="142" w:firstLine="578"/>
        <w:jc w:val="both"/>
        <w:rPr>
          <w:rFonts w:ascii="Times New Roman" w:hAnsi="Times New Roman"/>
          <w:sz w:val="28"/>
          <w:szCs w:val="28"/>
        </w:rPr>
      </w:pPr>
      <w:r>
        <w:rPr>
          <w:rFonts w:ascii="Times New Roman" w:hAnsi="Times New Roman"/>
          <w:sz w:val="28"/>
          <w:szCs w:val="28"/>
        </w:rPr>
        <w:t>Ngoài ra, 1</w:t>
      </w:r>
      <w:r w:rsidRPr="00497ED9">
        <w:rPr>
          <w:rFonts w:ascii="Times New Roman" w:hAnsi="Times New Roman"/>
          <w:sz w:val="28"/>
          <w:szCs w:val="28"/>
        </w:rPr>
        <w:t>497 giao dịch đã được chứng nhận bởi hai công chứng viên trở lên.</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 xml:space="preserve">3. Sổ đăng </w:t>
      </w:r>
      <w:r>
        <w:rPr>
          <w:rFonts w:ascii="Times New Roman" w:hAnsi="Times New Roman"/>
          <w:sz w:val="28"/>
          <w:szCs w:val="28"/>
        </w:rPr>
        <w:t xml:space="preserve">ký các trường hợp thừa kế có 35.104.000 </w:t>
      </w:r>
      <w:r w:rsidRPr="00497ED9">
        <w:rPr>
          <w:rFonts w:ascii="Times New Roman" w:hAnsi="Times New Roman"/>
          <w:sz w:val="28"/>
          <w:szCs w:val="28"/>
        </w:rPr>
        <w:t>thông tin về các vụ việc thừa kế.</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lastRenderedPageBreak/>
        <w:t>4. Trong sổ thông báo cầm cố tài sản không liên quan đến bấ</w:t>
      </w:r>
      <w:r>
        <w:rPr>
          <w:rFonts w:ascii="Times New Roman" w:hAnsi="Times New Roman"/>
          <w:sz w:val="28"/>
          <w:szCs w:val="28"/>
        </w:rPr>
        <w:t xml:space="preserve">t động sản chứa thông tin về 16.270.000 giao dịch </w:t>
      </w:r>
      <w:r w:rsidRPr="00497ED9">
        <w:rPr>
          <w:rFonts w:ascii="Times New Roman" w:hAnsi="Times New Roman"/>
          <w:sz w:val="28"/>
          <w:szCs w:val="28"/>
        </w:rPr>
        <w:t>cầm cố.</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5. Sổ đăng ký danh sách thành viên công ty trách nhiệm hữu hạn gồm 56 mục.</w:t>
      </w:r>
    </w:p>
    <w:p w:rsidR="000D6BBB" w:rsidRPr="00497ED9" w:rsidRDefault="000D6BBB" w:rsidP="000D6BBB">
      <w:pPr>
        <w:spacing w:after="120"/>
        <w:ind w:left="142" w:firstLine="578"/>
        <w:jc w:val="both"/>
        <w:rPr>
          <w:rFonts w:ascii="Times New Roman" w:hAnsi="Times New Roman"/>
          <w:sz w:val="28"/>
          <w:szCs w:val="28"/>
        </w:rPr>
      </w:pPr>
      <w:r w:rsidRPr="00497ED9">
        <w:rPr>
          <w:rFonts w:ascii="Times New Roman" w:hAnsi="Times New Roman"/>
          <w:sz w:val="28"/>
          <w:szCs w:val="28"/>
        </w:rPr>
        <w:t xml:space="preserve">6. Sổ đăng ký lệnh hủy bỏ giấy ủy quyền, ngoại trừ giấy ủy quyền có công chứng, chứa hơn </w:t>
      </w:r>
      <w:r>
        <w:rPr>
          <w:rFonts w:ascii="Times New Roman" w:hAnsi="Times New Roman"/>
          <w:sz w:val="28"/>
          <w:szCs w:val="28"/>
        </w:rPr>
        <w:t>6000</w:t>
      </w:r>
      <w:r w:rsidRPr="00497ED9">
        <w:rPr>
          <w:rFonts w:ascii="Times New Roman" w:hAnsi="Times New Roman"/>
          <w:sz w:val="28"/>
          <w:szCs w:val="28"/>
        </w:rPr>
        <w:t xml:space="preserve"> thông tin về việc thu hồi giấy ủy quyền được thực hiện ở dạng văn bản đơn giản.</w:t>
      </w:r>
    </w:p>
    <w:p w:rsidR="000D6BBB" w:rsidRPr="00497ED9" w:rsidRDefault="000D6BBB" w:rsidP="000D6BBB">
      <w:pPr>
        <w:spacing w:after="120"/>
        <w:ind w:firstLine="567"/>
        <w:jc w:val="both"/>
        <w:rPr>
          <w:rFonts w:ascii="Times New Roman" w:hAnsi="Times New Roman"/>
          <w:sz w:val="28"/>
          <w:szCs w:val="28"/>
        </w:rPr>
      </w:pPr>
      <w:r w:rsidRPr="00497ED9">
        <w:rPr>
          <w:rFonts w:ascii="Times New Roman" w:hAnsi="Times New Roman"/>
          <w:sz w:val="28"/>
          <w:szCs w:val="28"/>
        </w:rPr>
        <w:t>Cùng với các sổ đăng ký, UIS bao gồm:</w:t>
      </w:r>
    </w:p>
    <w:p w:rsidR="000D6BBB" w:rsidRPr="00497ED9" w:rsidRDefault="000D6BBB" w:rsidP="000D6BBB">
      <w:pPr>
        <w:spacing w:after="120"/>
        <w:ind w:firstLine="567"/>
        <w:jc w:val="both"/>
        <w:rPr>
          <w:rFonts w:ascii="Times New Roman" w:hAnsi="Times New Roman"/>
          <w:sz w:val="28"/>
          <w:szCs w:val="28"/>
        </w:rPr>
      </w:pPr>
      <w:r>
        <w:rPr>
          <w:rFonts w:ascii="Times New Roman" w:hAnsi="Times New Roman"/>
          <w:sz w:val="28"/>
          <w:szCs w:val="28"/>
        </w:rPr>
        <w:t>1) T</w:t>
      </w:r>
      <w:r w:rsidRPr="00497ED9">
        <w:rPr>
          <w:rFonts w:ascii="Times New Roman" w:hAnsi="Times New Roman"/>
          <w:sz w:val="28"/>
          <w:szCs w:val="28"/>
        </w:rPr>
        <w:t>ài liệu công chứng ở dạng điện tử;</w:t>
      </w:r>
    </w:p>
    <w:p w:rsidR="000D6BBB" w:rsidRPr="00497ED9" w:rsidRDefault="000D6BBB" w:rsidP="000D6BBB">
      <w:pPr>
        <w:spacing w:after="120"/>
        <w:ind w:firstLine="567"/>
        <w:jc w:val="both"/>
        <w:rPr>
          <w:rFonts w:ascii="Times New Roman" w:hAnsi="Times New Roman"/>
          <w:sz w:val="28"/>
          <w:szCs w:val="28"/>
        </w:rPr>
      </w:pPr>
      <w:r w:rsidRPr="00497ED9">
        <w:rPr>
          <w:rFonts w:ascii="Times New Roman" w:hAnsi="Times New Roman"/>
          <w:sz w:val="28"/>
          <w:szCs w:val="28"/>
        </w:rPr>
        <w:t xml:space="preserve">2) </w:t>
      </w:r>
      <w:r>
        <w:rPr>
          <w:rFonts w:ascii="Times New Roman" w:hAnsi="Times New Roman"/>
          <w:sz w:val="28"/>
          <w:szCs w:val="28"/>
        </w:rPr>
        <w:t>H</w:t>
      </w:r>
      <w:r w:rsidRPr="00497ED9">
        <w:rPr>
          <w:rFonts w:ascii="Times New Roman" w:hAnsi="Times New Roman"/>
          <w:sz w:val="28"/>
          <w:szCs w:val="28"/>
        </w:rPr>
        <w:t>ình ảnh điện tử của tài liệu công chứng được tạo trên giấy;</w:t>
      </w:r>
    </w:p>
    <w:p w:rsidR="000D6BBB" w:rsidRPr="00497ED9" w:rsidRDefault="000D6BBB" w:rsidP="000D6BBB">
      <w:pPr>
        <w:spacing w:after="120"/>
        <w:ind w:firstLine="567"/>
        <w:jc w:val="both"/>
        <w:rPr>
          <w:rFonts w:ascii="Times New Roman" w:hAnsi="Times New Roman"/>
          <w:sz w:val="28"/>
          <w:szCs w:val="28"/>
        </w:rPr>
      </w:pPr>
      <w:r>
        <w:rPr>
          <w:rFonts w:ascii="Times New Roman" w:hAnsi="Times New Roman"/>
          <w:sz w:val="28"/>
          <w:szCs w:val="28"/>
        </w:rPr>
        <w:t>3) T</w:t>
      </w:r>
      <w:r w:rsidRPr="00497ED9">
        <w:rPr>
          <w:rFonts w:ascii="Times New Roman" w:hAnsi="Times New Roman"/>
          <w:sz w:val="28"/>
          <w:szCs w:val="28"/>
        </w:rPr>
        <w:t xml:space="preserve">hông tin (bao gồm thông tin có tính chất tham khảo và phân tích) liên quan đến hoạt động của các công chứng viên và thành phần của họ được xác định bởi cơ quan tư pháp Liên bang cùng với Phòng công chứng Liên bang, ví dụ: về việc ban hành các biểu mẫu để thực hiện các </w:t>
      </w:r>
      <w:r>
        <w:rPr>
          <w:rFonts w:ascii="Times New Roman" w:hAnsi="Times New Roman"/>
          <w:sz w:val="28"/>
          <w:szCs w:val="28"/>
        </w:rPr>
        <w:t>hoạt động</w:t>
      </w:r>
      <w:r w:rsidRPr="00497ED9">
        <w:rPr>
          <w:rFonts w:ascii="Times New Roman" w:hAnsi="Times New Roman"/>
          <w:sz w:val="28"/>
          <w:szCs w:val="28"/>
        </w:rPr>
        <w:t xml:space="preserve"> công chứng; mẫu dấu và chữ ký của công chứng viên, mẫu chữ ký của người có thẩm quyền thay thế công chứng viên tạm thời vắng mặt.</w:t>
      </w:r>
    </w:p>
    <w:p w:rsidR="000D6BBB" w:rsidRDefault="000D6BBB" w:rsidP="000D6BBB"/>
    <w:p w:rsidR="00CA155E" w:rsidRDefault="00CA155E"/>
    <w:sectPr w:rsidR="00CA155E" w:rsidSect="000D6BBB">
      <w:pgSz w:w="11907" w:h="16840" w:code="9"/>
      <w:pgMar w:top="1440" w:right="1134" w:bottom="14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BB"/>
    <w:rsid w:val="000D6BBB"/>
    <w:rsid w:val="00561417"/>
    <w:rsid w:val="00CA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09DE2-6009-443B-B8C5-7D6D0947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BBB"/>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D9C5F-EF81-4DBB-BD4D-83474D4129BC}">
  <ds:schemaRefs>
    <ds:schemaRef ds:uri="http://schemas.openxmlformats.org/officeDocument/2006/bibliography"/>
  </ds:schemaRefs>
</ds:datastoreItem>
</file>

<file path=customXml/itemProps2.xml><?xml version="1.0" encoding="utf-8"?>
<ds:datastoreItem xmlns:ds="http://schemas.openxmlformats.org/officeDocument/2006/customXml" ds:itemID="{497BA76B-0141-47B1-8952-5A81D23A36BF}"/>
</file>

<file path=customXml/itemProps3.xml><?xml version="1.0" encoding="utf-8"?>
<ds:datastoreItem xmlns:ds="http://schemas.openxmlformats.org/officeDocument/2006/customXml" ds:itemID="{F9565B62-6B20-4E9B-AC16-0C6BFCE9CBBE}"/>
</file>

<file path=customXml/itemProps4.xml><?xml version="1.0" encoding="utf-8"?>
<ds:datastoreItem xmlns:ds="http://schemas.openxmlformats.org/officeDocument/2006/customXml" ds:itemID="{7E0C42BF-67A9-4AE3-99B9-C62BA74EA5B3}"/>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2023-09-27T10:50:00Z</dcterms:created>
  <dcterms:modified xsi:type="dcterms:W3CDTF">2023-09-27T10:53:00Z</dcterms:modified>
</cp:coreProperties>
</file>